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324" w:lineRule="auto"/>
        <w:ind w:left="2812" w:right="3032" w:firstLine="0"/>
        <w:jc w:val="left"/>
        <w:rPr>
          <w:sz w:val="36"/>
        </w:rPr>
      </w:pPr>
      <w:r>
        <w:rPr>
          <w:sz w:val="36"/>
        </w:rPr>
        <w:t>南通立洋化学有限公司企业环境信息公开内容</w:t>
      </w:r>
    </w:p>
    <w:p>
      <w:pPr>
        <w:pStyle w:val="2"/>
        <w:spacing w:before="54" w:line="417" w:lineRule="auto"/>
        <w:ind w:right="630" w:firstLine="557"/>
      </w:pPr>
      <w:r>
        <w:t xml:space="preserve">根据国家环保部部令第 </w:t>
      </w:r>
      <w:r>
        <w:rPr>
          <w:rFonts w:ascii="Times New Roman" w:eastAsia="Times New Roman"/>
        </w:rPr>
        <w:t xml:space="preserve">31 </w:t>
      </w:r>
      <w:r>
        <w:t>号文《企业事业单位环境信息公开办法》的要求，现将南通立洋化学有限公司环境信息公开如下：</w:t>
      </w:r>
    </w:p>
    <w:p>
      <w:pPr>
        <w:pStyle w:val="2"/>
        <w:spacing w:line="358" w:lineRule="exact"/>
      </w:pPr>
      <w:r>
        <w:rPr>
          <w:rFonts w:ascii="Times New Roman" w:eastAsia="Times New Roman"/>
        </w:rPr>
        <w:t>1</w:t>
      </w:r>
      <w:r>
        <w:t>、企业基本信息：</w:t>
      </w:r>
    </w:p>
    <w:p>
      <w:pPr>
        <w:pStyle w:val="2"/>
        <w:spacing w:before="265"/>
        <w:ind w:left="1016"/>
        <w:jc w:val="both"/>
        <w:rPr>
          <w:rFonts w:ascii="Times New Roman" w:eastAsia="Times New Roman"/>
        </w:rPr>
      </w:pPr>
      <w:r>
        <w:rPr>
          <w:spacing w:val="1"/>
        </w:rPr>
        <w:t xml:space="preserve">南通立洋化学有限公司位于如东沿海经济开发区，成立于 </w:t>
      </w:r>
      <w:r>
        <w:rPr>
          <w:rFonts w:ascii="Times New Roman" w:eastAsia="Times New Roman"/>
        </w:rPr>
        <w:t>2007</w:t>
      </w:r>
    </w:p>
    <w:p>
      <w:pPr>
        <w:pStyle w:val="2"/>
        <w:spacing w:before="265"/>
        <w:ind w:left="459"/>
        <w:jc w:val="both"/>
      </w:pPr>
      <w:r>
        <w:rPr>
          <w:spacing w:val="-35"/>
        </w:rPr>
        <w:t xml:space="preserve">年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36"/>
        </w:rPr>
        <w:t xml:space="preserve">月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22"/>
        </w:rPr>
        <w:t xml:space="preserve">日，占地 </w:t>
      </w:r>
      <w:r>
        <w:t>278.63</w:t>
      </w:r>
      <w:r>
        <w:rPr>
          <w:spacing w:val="-28"/>
        </w:rPr>
        <w:t xml:space="preserve"> 亩，总投资 </w:t>
      </w:r>
      <w:r>
        <w:t>5</w:t>
      </w:r>
      <w:r>
        <w:rPr>
          <w:spacing w:val="-30"/>
        </w:rPr>
        <w:t xml:space="preserve"> 亿元，于 </w:t>
      </w:r>
      <w:r>
        <w:rPr>
          <w:rFonts w:ascii="Times New Roman" w:eastAsia="Times New Roman"/>
        </w:rPr>
        <w:t>2010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35"/>
        </w:rPr>
        <w:t xml:space="preserve"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2"/>
        </w:rPr>
        <w:t>月份开</w:t>
      </w:r>
    </w:p>
    <w:p>
      <w:pPr>
        <w:pStyle w:val="2"/>
        <w:spacing w:before="265" w:line="417" w:lineRule="auto"/>
        <w:ind w:left="459" w:right="678" w:hanging="1"/>
        <w:jc w:val="both"/>
      </w:pPr>
      <w:r>
        <w:rPr>
          <w:spacing w:val="-5"/>
        </w:rPr>
        <w:t xml:space="preserve">始破土动工建设，其中污水处理设施总投资为 </w:t>
      </w:r>
      <w:r>
        <w:rPr>
          <w:rFonts w:ascii="Times New Roman" w:eastAsia="Times New Roman"/>
        </w:rPr>
        <w:t xml:space="preserve">3000 </w:t>
      </w:r>
      <w:r>
        <w:rPr>
          <w:spacing w:val="-3"/>
        </w:rPr>
        <w:t>万元，为总投资</w:t>
      </w:r>
      <w:r>
        <w:rPr>
          <w:spacing w:val="2"/>
        </w:rPr>
        <w:t xml:space="preserve">的 </w:t>
      </w:r>
      <w:r>
        <w:rPr>
          <w:rFonts w:ascii="Times New Roman" w:eastAsia="Times New Roman"/>
        </w:rPr>
        <w:t>10%</w:t>
      </w:r>
      <w:r>
        <w:rPr>
          <w:spacing w:val="-3"/>
        </w:rPr>
        <w:t xml:space="preserve">左右，公司绿化面积占总面积的 </w:t>
      </w:r>
      <w:r>
        <w:rPr>
          <w:rFonts w:ascii="Times New Roman" w:eastAsia="Times New Roman"/>
        </w:rPr>
        <w:t>20%</w:t>
      </w:r>
      <w:r>
        <w:rPr>
          <w:spacing w:val="-3"/>
        </w:rPr>
        <w:t>左右。主要生产项目为氰基吡啶、乙腈、巴豆醛等产品。</w:t>
      </w:r>
    </w:p>
    <w:p>
      <w:pPr>
        <w:pStyle w:val="2"/>
        <w:spacing w:line="358" w:lineRule="exact"/>
        <w:ind w:left="1016"/>
      </w:pPr>
      <w:r>
        <w:t>企业名称：南通立洋化学有限公司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17" w:lineRule="auto"/>
        <w:ind w:left="1017" w:right="3319" w:hanging="1"/>
      </w:pPr>
      <w:r>
        <w:t>统一社会信用代码：</w:t>
      </w:r>
      <w:r>
        <w:rPr>
          <w:rFonts w:ascii="Times New Roman" w:eastAsia="Times New Roman"/>
        </w:rPr>
        <w:t xml:space="preserve">91320623667635936Q </w:t>
      </w:r>
      <w:r>
        <w:t>企业负责人：帅建新</w:t>
      </w:r>
    </w:p>
    <w:p>
      <w:pPr>
        <w:pStyle w:val="2"/>
        <w:spacing w:line="358" w:lineRule="exact"/>
        <w:ind w:left="1017"/>
      </w:pPr>
      <w:r>
        <w:t>生产地址：如东县沿海经济开发区黄海一路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ind w:left="1017"/>
      </w:pPr>
      <w:r>
        <w:t>联系方式：</w:t>
      </w:r>
      <w:r>
        <w:rPr>
          <w:rFonts w:ascii="Times New Roman" w:eastAsia="Times New Roman"/>
        </w:rPr>
        <w:t>0513-81903952</w:t>
      </w:r>
      <w:r>
        <w:t>（</w:t>
      </w:r>
      <w:r>
        <w:rPr>
          <w:spacing w:val="-2"/>
        </w:rPr>
        <w:t>总机</w:t>
      </w:r>
      <w:r>
        <w:rPr>
          <w:spacing w:val="-142"/>
        </w:rPr>
        <w:t>）</w:t>
      </w:r>
      <w:r>
        <w:t>、</w:t>
      </w:r>
      <w:r>
        <w:rPr>
          <w:rFonts w:ascii="Times New Roman" w:eastAsia="Times New Roman"/>
        </w:rPr>
        <w:t>81903459</w:t>
      </w:r>
      <w:r>
        <w:t>（</w:t>
      </w:r>
      <w:r>
        <w:rPr>
          <w:spacing w:val="-3"/>
        </w:rPr>
        <w:t>传真</w:t>
      </w:r>
      <w:r>
        <w:t>）</w:t>
      </w:r>
    </w:p>
    <w:p>
      <w:pPr>
        <w:pStyle w:val="2"/>
        <w:spacing w:before="265" w:line="417" w:lineRule="auto"/>
        <w:ind w:right="1268" w:firstLine="557"/>
      </w:pPr>
      <w:r>
        <w:t>生产经营：</w:t>
      </w:r>
      <w:r>
        <w:rPr>
          <w:rFonts w:ascii="Times New Roman" w:eastAsia="Times New Roman"/>
        </w:rPr>
        <w:t xml:space="preserve">10000 </w:t>
      </w:r>
      <w:r>
        <w:t>吨</w:t>
      </w:r>
      <w:r>
        <w:rPr>
          <w:rFonts w:ascii="Times New Roman" w:eastAsia="Times New Roman"/>
        </w:rPr>
        <w:t>/</w:t>
      </w:r>
      <w:r>
        <w:t>年氰基吡啶、</w:t>
      </w:r>
      <w:r>
        <w:rPr>
          <w:rFonts w:ascii="Times New Roman" w:eastAsia="Times New Roman"/>
        </w:rPr>
        <w:t xml:space="preserve">10000 </w:t>
      </w:r>
      <w:r>
        <w:t>吨</w:t>
      </w:r>
      <w:r>
        <w:rPr>
          <w:rFonts w:ascii="Times New Roman" w:eastAsia="Times New Roman"/>
        </w:rPr>
        <w:t>/</w:t>
      </w:r>
      <w:r>
        <w:t>年乙腈、</w:t>
      </w:r>
      <w:r>
        <w:rPr>
          <w:rFonts w:ascii="Times New Roman" w:eastAsia="Times New Roman"/>
        </w:rPr>
        <w:t xml:space="preserve">10000 </w:t>
      </w:r>
      <w:r>
        <w:t>吨</w:t>
      </w:r>
      <w:r>
        <w:rPr>
          <w:rFonts w:ascii="Times New Roman" w:eastAsia="Times New Roman"/>
        </w:rPr>
        <w:t>/</w:t>
      </w:r>
      <w:r>
        <w:t>年巴豆醛。</w:t>
      </w:r>
    </w:p>
    <w:p>
      <w:pPr>
        <w:pStyle w:val="2"/>
        <w:spacing w:line="358" w:lineRule="exact"/>
      </w:pPr>
      <w:r>
        <w:rPr>
          <w:rFonts w:ascii="Times New Roman" w:eastAsia="Times New Roman"/>
        </w:rPr>
        <w:t>2</w:t>
      </w:r>
      <w:r>
        <w:t>、排污信息</w:t>
      </w:r>
    </w:p>
    <w:p>
      <w:pPr>
        <w:pStyle w:val="2"/>
        <w:spacing w:before="266"/>
        <w:ind w:left="1018"/>
        <w:jc w:val="both"/>
      </w:pPr>
      <w:r>
        <w:t xml:space="preserve">公司委托如东县环境监测站对项目进行监测，并于 </w:t>
      </w:r>
      <w:r>
        <w:rPr>
          <w:rFonts w:ascii="Times New Roman" w:eastAsia="Times New Roman"/>
        </w:rPr>
        <w:t xml:space="preserve">2016 </w:t>
      </w:r>
      <w:r>
        <w:t xml:space="preserve">年 </w:t>
      </w:r>
      <w:r>
        <w:rPr>
          <w:rFonts w:ascii="Times New Roman" w:eastAsia="Times New Roman"/>
        </w:rPr>
        <w:t xml:space="preserve">9 </w:t>
      </w:r>
      <w:r>
        <w:t>月</w:t>
      </w:r>
    </w:p>
    <w:p>
      <w:pPr>
        <w:pStyle w:val="2"/>
        <w:spacing w:before="265" w:line="417" w:lineRule="auto"/>
        <w:ind w:right="676" w:hanging="1"/>
        <w:jc w:val="both"/>
      </w:pPr>
      <w:r>
        <w:rPr>
          <w:rFonts w:ascii="Times New Roman" w:eastAsia="Times New Roman"/>
        </w:rPr>
        <w:t xml:space="preserve">7 </w:t>
      </w:r>
      <w:r>
        <w:rPr>
          <w:spacing w:val="-26"/>
        </w:rPr>
        <w:t xml:space="preserve">日，通过 </w:t>
      </w:r>
      <w:r>
        <w:rPr>
          <w:rFonts w:ascii="Arial" w:eastAsia="Arial"/>
        </w:rPr>
        <w:t xml:space="preserve">10000 </w:t>
      </w:r>
      <w:r>
        <w:rPr>
          <w:spacing w:val="-11"/>
        </w:rPr>
        <w:t>吨氰基吡啶、</w:t>
      </w:r>
      <w:r>
        <w:rPr>
          <w:rFonts w:ascii="Arial" w:eastAsia="Arial"/>
        </w:rPr>
        <w:t xml:space="preserve">10000 </w:t>
      </w:r>
      <w:r>
        <w:rPr>
          <w:spacing w:val="-3"/>
        </w:rPr>
        <w:t>吨乙腈清洁生产技改项目的三</w:t>
      </w:r>
      <w:r>
        <w:rPr>
          <w:spacing w:val="-10"/>
        </w:rPr>
        <w:t>同时竣工验收，三同时验收批复文号为通行审批【</w:t>
      </w:r>
      <w:r>
        <w:rPr>
          <w:rFonts w:ascii="Arial" w:eastAsia="Arial"/>
        </w:rPr>
        <w:t>2016</w:t>
      </w:r>
      <w:r>
        <w:rPr>
          <w:spacing w:val="-34"/>
        </w:rPr>
        <w:t>】</w:t>
      </w:r>
      <w:r>
        <w:rPr>
          <w:rFonts w:ascii="Arial" w:eastAsia="Arial"/>
        </w:rPr>
        <w:t xml:space="preserve">619 </w:t>
      </w:r>
      <w:r>
        <w:rPr>
          <w:spacing w:val="-23"/>
        </w:rPr>
        <w:t>号。公</w:t>
      </w:r>
      <w:r>
        <w:rPr>
          <w:spacing w:val="-3"/>
        </w:rPr>
        <w:t>司委托南大环保科技有限公司进行日常监测，监测数据公示如下：</w:t>
      </w:r>
    </w:p>
    <w:p>
      <w:pPr>
        <w:spacing w:after="0" w:line="417" w:lineRule="auto"/>
        <w:jc w:val="both"/>
        <w:sectPr>
          <w:type w:val="continuous"/>
          <w:pgSz w:w="11910" w:h="16840"/>
          <w:pgMar w:top="1480" w:right="1120" w:bottom="280" w:left="1340" w:header="720" w:footer="720" w:gutter="0"/>
          <w:cols w:space="720" w:num="1"/>
        </w:sectPr>
      </w:pPr>
    </w:p>
    <w:p>
      <w:pPr>
        <w:pStyle w:val="2"/>
        <w:spacing w:before="34"/>
        <w:ind w:left="1019"/>
      </w:pPr>
      <w:r>
        <w:t>废水：</w:t>
      </w:r>
    </w:p>
    <w:p>
      <w:pPr>
        <w:pStyle w:val="2"/>
        <w:spacing w:before="10"/>
        <w:ind w:left="0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515"/>
        <w:gridCol w:w="1306"/>
        <w:gridCol w:w="1589"/>
        <w:gridCol w:w="1351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66" w:type="dxa"/>
            <w:vAlign w:val="center"/>
          </w:tcPr>
          <w:p>
            <w:pPr>
              <w:pStyle w:val="7"/>
              <w:spacing w:before="115"/>
              <w:ind w:left="20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排口编号</w:t>
            </w:r>
          </w:p>
        </w:tc>
        <w:tc>
          <w:tcPr>
            <w:tcW w:w="1515" w:type="dxa"/>
            <w:vAlign w:val="center"/>
          </w:tcPr>
          <w:p>
            <w:pPr>
              <w:pStyle w:val="7"/>
              <w:spacing w:before="115"/>
              <w:ind w:left="195" w:righ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污染物名称</w:t>
            </w:r>
          </w:p>
        </w:tc>
        <w:tc>
          <w:tcPr>
            <w:tcW w:w="1306" w:type="dxa"/>
            <w:vAlign w:val="center"/>
          </w:tcPr>
          <w:p>
            <w:pPr>
              <w:pStyle w:val="7"/>
              <w:spacing w:before="115"/>
              <w:ind w:left="211" w:right="8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排放浓度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spacing w:before="115"/>
              <w:ind w:left="352" w:right="2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评价标准</w:t>
            </w:r>
          </w:p>
        </w:tc>
        <w:tc>
          <w:tcPr>
            <w:tcW w:w="1351" w:type="dxa"/>
            <w:vAlign w:val="center"/>
          </w:tcPr>
          <w:p>
            <w:pPr>
              <w:pStyle w:val="7"/>
              <w:spacing w:before="115"/>
              <w:ind w:left="1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超标情况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spacing w:before="115"/>
              <w:ind w:left="5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ind w:left="14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WS-317001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氟化物（以F-计）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0.875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ind w:left="31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未超标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ind w:left="14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1、</w:t>
            </w:r>
            <w:r>
              <w:rPr>
                <w:color w:val="auto"/>
                <w:sz w:val="24"/>
              </w:rPr>
              <w:t>《污水排放标准》</w:t>
            </w:r>
          </w:p>
          <w:p>
            <w:pPr>
              <w:pStyle w:val="7"/>
              <w:spacing w:before="5"/>
              <w:ind w:left="14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（GB8979-1996）</w:t>
            </w:r>
          </w:p>
          <w:p>
            <w:pPr>
              <w:pStyle w:val="7"/>
              <w:spacing w:before="4" w:line="242" w:lineRule="auto"/>
              <w:ind w:left="106" w:right="9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39"/>
                <w:sz w:val="24"/>
              </w:rPr>
              <w:t xml:space="preserve">表 </w:t>
            </w:r>
            <w:r>
              <w:rPr>
                <w:color w:val="auto"/>
                <w:sz w:val="24"/>
              </w:rPr>
              <w:t>4</w:t>
            </w:r>
            <w:r>
              <w:rPr>
                <w:color w:val="auto"/>
                <w:spacing w:val="-15"/>
                <w:sz w:val="24"/>
              </w:rPr>
              <w:t xml:space="preserve"> 中三级标准和</w:t>
            </w:r>
            <w:r>
              <w:rPr>
                <w:color w:val="auto"/>
                <w:sz w:val="24"/>
              </w:rPr>
              <w:t>园区污水处理厂接管要求</w:t>
            </w:r>
          </w:p>
          <w:p>
            <w:pPr>
              <w:pStyle w:val="7"/>
              <w:spacing w:before="4" w:line="242" w:lineRule="auto"/>
              <w:ind w:left="106" w:right="95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2、《</w:t>
            </w:r>
            <w:r>
              <w:rPr>
                <w:rStyle w:val="4"/>
                <w:rFonts w:ascii="Times New Roman" w:hAnsi="Times New Roman" w:cs="Times New Roman"/>
              </w:rPr>
              <w:t>石油化学工业污染物排放标准</w:t>
            </w:r>
            <w:r>
              <w:rPr>
                <w:rStyle w:val="4"/>
                <w:rFonts w:hint="eastAsia" w:ascii="Times New Roman" w:hAnsi="Times New Roman" w:cs="Times New Roman"/>
                <w:lang w:eastAsia="zh-CN"/>
              </w:rPr>
              <w:t>》（</w:t>
            </w:r>
            <w:r>
              <w:rPr>
                <w:rStyle w:val="4"/>
                <w:rFonts w:ascii="Times New Roman" w:hAnsi="Times New Roman" w:cs="Times New Roman"/>
              </w:rPr>
              <w:t>GB 31571-2015</w:t>
            </w:r>
            <w:r>
              <w:rPr>
                <w:rStyle w:val="4"/>
                <w:rFonts w:hint="eastAsia" w:ascii="Times New Roman" w:hAnsi="Times New Roman" w:cs="Times New Roman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pH值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8.05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6-9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色度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石油类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0.245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总氰化物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总磷（以P计）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0.055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氯化物（以Cl-计）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总氮（以N计）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全盐量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氨氮（NH3-N）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悬浮物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可吸附有机卤化物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0.4725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挥发酚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  <w:rPr>
          <w:spacing w:val="-1"/>
        </w:rPr>
      </w:pPr>
    </w:p>
    <w:p>
      <w:pPr>
        <w:pStyle w:val="2"/>
        <w:spacing w:before="132"/>
        <w:ind w:left="1019"/>
      </w:pPr>
      <w:r>
        <w:rPr>
          <w:spacing w:val="-1"/>
        </w:rPr>
        <w:t>废气：</w:t>
      </w:r>
      <w:r>
        <w:t xml:space="preserve"> </w:t>
      </w:r>
    </w:p>
    <w:p>
      <w:pPr>
        <w:pStyle w:val="2"/>
        <w:spacing w:before="10"/>
        <w:ind w:left="0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515"/>
        <w:gridCol w:w="1306"/>
        <w:gridCol w:w="1589"/>
        <w:gridCol w:w="1351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366" w:type="dxa"/>
            <w:vAlign w:val="center"/>
          </w:tcPr>
          <w:p>
            <w:pPr>
              <w:pStyle w:val="7"/>
              <w:spacing w:before="115"/>
              <w:ind w:left="201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排口编号</w:t>
            </w:r>
          </w:p>
        </w:tc>
        <w:tc>
          <w:tcPr>
            <w:tcW w:w="1515" w:type="dxa"/>
            <w:vAlign w:val="center"/>
          </w:tcPr>
          <w:p>
            <w:pPr>
              <w:pStyle w:val="7"/>
              <w:spacing w:before="115"/>
              <w:ind w:left="195" w:right="7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污染物名称</w:t>
            </w:r>
          </w:p>
        </w:tc>
        <w:tc>
          <w:tcPr>
            <w:tcW w:w="1306" w:type="dxa"/>
            <w:vAlign w:val="center"/>
          </w:tcPr>
          <w:p>
            <w:pPr>
              <w:pStyle w:val="7"/>
              <w:spacing w:before="115"/>
              <w:ind w:left="211" w:right="8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排放浓度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spacing w:before="115"/>
              <w:ind w:left="352" w:right="22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评价标准</w:t>
            </w:r>
          </w:p>
        </w:tc>
        <w:tc>
          <w:tcPr>
            <w:tcW w:w="1351" w:type="dxa"/>
            <w:vAlign w:val="center"/>
          </w:tcPr>
          <w:p>
            <w:pPr>
              <w:pStyle w:val="7"/>
              <w:spacing w:before="115"/>
              <w:ind w:left="195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超标情况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spacing w:before="115"/>
              <w:ind w:left="567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6"/>
              <w:jc w:val="center"/>
              <w:rPr>
                <w:color w:val="auto"/>
                <w:sz w:val="29"/>
              </w:rPr>
            </w:pPr>
          </w:p>
          <w:p>
            <w:pPr>
              <w:pStyle w:val="7"/>
              <w:spacing w:before="1"/>
              <w:ind w:left="141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FQ-317001</w:t>
            </w: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2"/>
              <w:jc w:val="center"/>
              <w:rPr>
                <w:color w:val="auto"/>
                <w:sz w:val="28"/>
              </w:rPr>
            </w:pPr>
          </w:p>
          <w:p>
            <w:pPr>
              <w:pStyle w:val="7"/>
              <w:spacing w:before="1"/>
              <w:ind w:left="141"/>
              <w:jc w:val="center"/>
              <w:rPr>
                <w:color w:val="auto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丙酮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10"/>
              <w:jc w:val="center"/>
              <w:rPr>
                <w:color w:val="auto"/>
                <w:sz w:val="33"/>
              </w:rPr>
            </w:pPr>
          </w:p>
          <w:p>
            <w:pPr>
              <w:pStyle w:val="7"/>
              <w:ind w:left="31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未超标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7"/>
              <w:jc w:val="center"/>
              <w:rPr>
                <w:color w:val="auto"/>
                <w:sz w:val="20"/>
              </w:rPr>
            </w:pPr>
          </w:p>
          <w:p>
            <w:pPr>
              <w:pStyle w:val="7"/>
              <w:spacing w:line="242" w:lineRule="auto"/>
              <w:ind w:left="106" w:right="9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24"/>
                <w:sz w:val="24"/>
              </w:rPr>
              <w:t>、《大气污染物综</w:t>
            </w:r>
            <w:r>
              <w:rPr>
                <w:color w:val="auto"/>
                <w:sz w:val="24"/>
              </w:rPr>
              <w:t>合排放标准》</w:t>
            </w:r>
          </w:p>
          <w:p>
            <w:pPr>
              <w:pStyle w:val="7"/>
              <w:spacing w:before="3"/>
              <w:ind w:left="86" w:right="4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（GB16297-1996）</w:t>
            </w:r>
          </w:p>
          <w:p>
            <w:pPr>
              <w:pStyle w:val="7"/>
              <w:spacing w:before="5" w:line="242" w:lineRule="auto"/>
              <w:ind w:left="106" w:right="97"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30"/>
                <w:sz w:val="24"/>
              </w:rPr>
              <w:t xml:space="preserve">表 </w:t>
            </w:r>
            <w:r>
              <w:rPr>
                <w:color w:val="auto"/>
                <w:sz w:val="24"/>
              </w:rPr>
              <w:t>2</w:t>
            </w:r>
            <w:r>
              <w:rPr>
                <w:color w:val="auto"/>
                <w:spacing w:val="-10"/>
                <w:sz w:val="24"/>
              </w:rPr>
              <w:t xml:space="preserve"> 中二级标准 2</w:t>
            </w:r>
            <w:r>
              <w:rPr>
                <w:color w:val="auto"/>
                <w:spacing w:val="-24"/>
                <w:sz w:val="24"/>
              </w:rPr>
              <w:t>、《恶臭污染物排</w:t>
            </w:r>
            <w:r>
              <w:rPr>
                <w:color w:val="auto"/>
                <w:sz w:val="24"/>
              </w:rPr>
              <w:t>放标准》</w:t>
            </w:r>
          </w:p>
          <w:p>
            <w:pPr>
              <w:pStyle w:val="7"/>
              <w:spacing w:before="4"/>
              <w:ind w:left="86" w:right="4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（GB14554-1993）</w:t>
            </w:r>
          </w:p>
          <w:p>
            <w:pPr>
              <w:pStyle w:val="7"/>
              <w:spacing w:before="4"/>
              <w:ind w:left="219" w:right="9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二级新扩改标准</w:t>
            </w:r>
          </w:p>
          <w:p>
            <w:pPr>
              <w:pStyle w:val="7"/>
              <w:numPr>
                <w:ilvl w:val="0"/>
                <w:numId w:val="1"/>
              </w:numPr>
              <w:spacing w:before="4"/>
              <w:ind w:left="219" w:right="95"/>
              <w:jc w:val="center"/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/>
              </w:rPr>
              <w:t>《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石油化学工业污染物排放标准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》（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GB 31571-2015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  <w:p>
            <w:pPr>
              <w:pStyle w:val="7"/>
              <w:numPr>
                <w:ilvl w:val="0"/>
                <w:numId w:val="1"/>
              </w:numPr>
              <w:spacing w:before="4"/>
              <w:ind w:left="219" w:right="95"/>
              <w:jc w:val="center"/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《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化学工业挥发性有机物排放标准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》（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DB 32/3151-2016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乙醛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24"/>
                <w:szCs w:val="22"/>
                <w:lang w:val="en-US" w:eastAsia="zh-CN" w:bidi="zh-CN"/>
              </w:rPr>
              <w:t>非甲烷总烃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7"/>
              <w:spacing w:before="1"/>
              <w:ind w:left="141"/>
              <w:jc w:val="center"/>
              <w:rPr>
                <w:color w:val="auto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氨（氨气）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0.785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0.0655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乙酸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1" w:hRule="atLeast"/>
          <w:jc w:val="center"/>
        </w:trPr>
        <w:tc>
          <w:tcPr>
            <w:tcW w:w="1366" w:type="dxa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FQ-317002</w:t>
            </w: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1"/>
              <w:jc w:val="center"/>
              <w:rPr>
                <w:color w:val="auto"/>
                <w:sz w:val="23"/>
              </w:rPr>
            </w:pPr>
          </w:p>
          <w:p>
            <w:pPr>
              <w:pStyle w:val="7"/>
              <w:ind w:left="141"/>
              <w:jc w:val="center"/>
              <w:rPr>
                <w:color w:val="auto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氨（氨气）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szCs w:val="22"/>
                <w:lang w:val="en-US" w:eastAsia="zh-CN" w:bidi="zh-CN"/>
              </w:rPr>
              <w:t>非甲烷总烃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3.22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7"/>
              <w:ind w:left="141"/>
              <w:jc w:val="center"/>
              <w:rPr>
                <w:color w:val="auto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0.374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1.965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restart"/>
            <w:tcBorders>
              <w:top w:val="nil"/>
            </w:tcBorders>
            <w:vAlign w:val="center"/>
          </w:tcPr>
          <w:p>
            <w:pPr>
              <w:pStyle w:val="7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FQ-317003</w:t>
            </w:r>
          </w:p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0.154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  <w:szCs w:val="22"/>
                <w:lang w:val="en-US" w:eastAsia="zh-CN" w:bidi="zh-CN"/>
              </w:rPr>
              <w:t>非甲烷总烃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氨（氨气）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0.945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</w:tbl>
    <w:p>
      <w:pPr>
        <w:spacing w:after="0"/>
        <w:jc w:val="center"/>
        <w:rPr>
          <w:sz w:val="2"/>
          <w:szCs w:val="2"/>
        </w:rPr>
        <w:sectPr>
          <w:pgSz w:w="11910" w:h="16840"/>
          <w:pgMar w:top="1520" w:right="1120" w:bottom="280" w:left="1340" w:header="720" w:footer="720" w:gutter="0"/>
          <w:cols w:space="720" w:num="1"/>
        </w:sect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511"/>
        <w:gridCol w:w="1306"/>
        <w:gridCol w:w="1586"/>
        <w:gridCol w:w="1356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369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2"/>
              <w:jc w:val="center"/>
              <w:rPr>
                <w:color w:val="auto"/>
                <w:sz w:val="29"/>
              </w:rPr>
            </w:pPr>
          </w:p>
          <w:p>
            <w:pPr>
              <w:pStyle w:val="7"/>
              <w:ind w:left="141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FQ-317004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1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硫化氢（浓度mg/m3）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氨（氨气）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3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cs="宋体"/>
                <w:color w:val="auto"/>
                <w:sz w:val="24"/>
                <w:szCs w:val="22"/>
                <w:lang w:val="en-US" w:eastAsia="zh-CN" w:bidi="zh-CN"/>
              </w:rPr>
              <w:t>非甲烷总烃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5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1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</w:rPr>
            </w:pPr>
          </w:p>
        </w:tc>
      </w:tr>
    </w:tbl>
    <w:p>
      <w:pPr>
        <w:pStyle w:val="2"/>
        <w:spacing w:before="7"/>
        <w:ind w:left="0"/>
        <w:rPr>
          <w:sz w:val="5"/>
        </w:rPr>
      </w:pPr>
    </w:p>
    <w:p>
      <w:pPr>
        <w:pStyle w:val="2"/>
        <w:spacing w:before="61"/>
        <w:rPr>
          <w:rFonts w:hint="eastAsia"/>
          <w:lang w:eastAsia="zh-CN"/>
        </w:rPr>
      </w:pPr>
      <w:r>
        <w:rPr>
          <w:rFonts w:hint="eastAsia"/>
          <w:lang w:eastAsia="zh-CN"/>
        </w:rPr>
        <w:t>无组织废气：</w:t>
      </w:r>
    </w:p>
    <w:tbl>
      <w:tblPr>
        <w:tblStyle w:val="3"/>
        <w:tblpPr w:leftFromText="180" w:rightFromText="180" w:vertAnchor="text" w:horzAnchor="page" w:tblpX="1429" w:tblpY="37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515"/>
        <w:gridCol w:w="1306"/>
        <w:gridCol w:w="1589"/>
        <w:gridCol w:w="1351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66" w:type="dxa"/>
            <w:vAlign w:val="center"/>
          </w:tcPr>
          <w:p>
            <w:pPr>
              <w:pStyle w:val="7"/>
              <w:spacing w:before="115"/>
              <w:ind w:left="20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排口编号</w:t>
            </w:r>
          </w:p>
        </w:tc>
        <w:tc>
          <w:tcPr>
            <w:tcW w:w="1515" w:type="dxa"/>
            <w:vAlign w:val="center"/>
          </w:tcPr>
          <w:p>
            <w:pPr>
              <w:pStyle w:val="7"/>
              <w:spacing w:before="115"/>
              <w:ind w:left="195" w:right="7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污染物名称</w:t>
            </w:r>
          </w:p>
        </w:tc>
        <w:tc>
          <w:tcPr>
            <w:tcW w:w="1306" w:type="dxa"/>
            <w:vAlign w:val="center"/>
          </w:tcPr>
          <w:p>
            <w:pPr>
              <w:pStyle w:val="7"/>
              <w:spacing w:before="115"/>
              <w:ind w:left="211" w:right="8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排放浓度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spacing w:before="115"/>
              <w:ind w:left="352" w:right="2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评价标准</w:t>
            </w:r>
          </w:p>
        </w:tc>
        <w:tc>
          <w:tcPr>
            <w:tcW w:w="1351" w:type="dxa"/>
            <w:vAlign w:val="center"/>
          </w:tcPr>
          <w:p>
            <w:pPr>
              <w:pStyle w:val="7"/>
              <w:spacing w:before="115"/>
              <w:ind w:left="1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超标情况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spacing w:before="115"/>
              <w:ind w:left="56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执行标准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66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ind w:left="141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厂界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氨（氨气）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spacing w:before="9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ind w:left="31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未超标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7"/>
              <w:jc w:val="center"/>
              <w:rPr>
                <w:color w:val="auto"/>
                <w:sz w:val="24"/>
              </w:rPr>
            </w:pPr>
          </w:p>
          <w:p>
            <w:pPr>
              <w:pStyle w:val="7"/>
              <w:jc w:val="center"/>
              <w:rPr>
                <w:color w:val="auto"/>
                <w:sz w:val="25"/>
              </w:rPr>
            </w:pPr>
          </w:p>
          <w:p>
            <w:pPr>
              <w:pStyle w:val="7"/>
              <w:spacing w:before="7"/>
              <w:jc w:val="center"/>
              <w:rPr>
                <w:color w:val="auto"/>
                <w:sz w:val="20"/>
              </w:rPr>
            </w:pPr>
          </w:p>
          <w:p>
            <w:pPr>
              <w:pStyle w:val="7"/>
              <w:spacing w:line="242" w:lineRule="auto"/>
              <w:ind w:left="106" w:right="9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>
              <w:rPr>
                <w:color w:val="auto"/>
                <w:spacing w:val="-24"/>
                <w:sz w:val="24"/>
              </w:rPr>
              <w:t>、《大气污染物综</w:t>
            </w:r>
            <w:r>
              <w:rPr>
                <w:color w:val="auto"/>
                <w:sz w:val="24"/>
              </w:rPr>
              <w:t>合排放标准》</w:t>
            </w:r>
          </w:p>
          <w:p>
            <w:pPr>
              <w:pStyle w:val="7"/>
              <w:spacing w:before="3"/>
              <w:ind w:left="86" w:right="4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（GB16297-1996）</w:t>
            </w:r>
          </w:p>
          <w:p>
            <w:pPr>
              <w:pStyle w:val="7"/>
              <w:spacing w:before="5" w:line="242" w:lineRule="auto"/>
              <w:ind w:left="106" w:right="97" w:hanging="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 xml:space="preserve"> 2</w:t>
            </w:r>
            <w:r>
              <w:rPr>
                <w:color w:val="auto"/>
                <w:spacing w:val="-24"/>
                <w:sz w:val="24"/>
              </w:rPr>
              <w:t>、《恶臭污染物排</w:t>
            </w:r>
            <w:r>
              <w:rPr>
                <w:color w:val="auto"/>
                <w:sz w:val="24"/>
              </w:rPr>
              <w:t>放标准》</w:t>
            </w:r>
          </w:p>
          <w:p>
            <w:pPr>
              <w:pStyle w:val="7"/>
              <w:spacing w:before="4"/>
              <w:ind w:left="86" w:right="4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（GB14554-1993）</w:t>
            </w:r>
          </w:p>
          <w:p>
            <w:pPr>
              <w:pStyle w:val="7"/>
              <w:numPr>
                <w:ilvl w:val="0"/>
                <w:numId w:val="0"/>
              </w:numPr>
              <w:spacing w:before="4"/>
              <w:ind w:right="95" w:rightChars="0"/>
              <w:jc w:val="center"/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/>
              </w:rPr>
              <w:t>3、《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石油化学工业污染物排放标准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》（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GB 31571-2015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  <w:p>
            <w:pPr>
              <w:pStyle w:val="7"/>
              <w:spacing w:before="4" w:line="242" w:lineRule="auto"/>
              <w:ind w:left="106" w:right="95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/>
              </w:rPr>
              <w:t>4、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《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化学工业挥发性有机物排放标准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》（</w:t>
            </w:r>
            <w:r>
              <w:rPr>
                <w:rStyle w:val="4"/>
                <w:rFonts w:ascii="Times New Roman" w:hAnsi="Times New Roman" w:cs="Times New Roman"/>
                <w:color w:val="auto"/>
              </w:rPr>
              <w:t>DB 32/3151-2016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0.12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吡啶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0.08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＜10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0.6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丙酮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0.8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乙酸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/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硫化氢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0.06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甲苯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ND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0.6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挥发性有机物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35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61"/>
        <w:rPr>
          <w:rFonts w:hint="eastAsia"/>
          <w:lang w:eastAsia="zh-CN"/>
        </w:rPr>
      </w:pPr>
    </w:p>
    <w:p>
      <w:pPr>
        <w:pStyle w:val="2"/>
        <w:spacing w:before="61"/>
        <w:rPr>
          <w:rFonts w:hint="eastAsia"/>
          <w:lang w:eastAsia="zh-CN"/>
        </w:rPr>
      </w:pPr>
    </w:p>
    <w:p>
      <w:pPr>
        <w:pStyle w:val="2"/>
        <w:spacing w:before="61"/>
      </w:pPr>
      <w:r>
        <w:t xml:space="preserve">3、污染防治设施的建设和运行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1"/>
          <w:numId w:val="2"/>
        </w:numPr>
        <w:tabs>
          <w:tab w:val="left" w:pos="1512"/>
        </w:tabs>
        <w:spacing w:before="0" w:after="0" w:line="240" w:lineRule="auto"/>
        <w:ind w:left="1511" w:right="0" w:hanging="493"/>
        <w:jc w:val="both"/>
        <w:rPr>
          <w:sz w:val="28"/>
        </w:rPr>
      </w:pPr>
      <w:r>
        <w:rPr>
          <w:spacing w:val="-3"/>
          <w:sz w:val="28"/>
        </w:rPr>
        <w:t>废水治理设施</w:t>
      </w:r>
      <w:r>
        <w:rPr>
          <w:sz w:val="28"/>
        </w:rPr>
        <w:t xml:space="preserve">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2"/>
          <w:numId w:val="2"/>
        </w:numPr>
        <w:tabs>
          <w:tab w:val="left" w:pos="1792"/>
        </w:tabs>
        <w:spacing w:before="0" w:after="0" w:line="417" w:lineRule="auto"/>
        <w:ind w:left="459" w:right="676" w:firstLine="559"/>
        <w:jc w:val="both"/>
        <w:rPr>
          <w:sz w:val="28"/>
        </w:rPr>
      </w:pPr>
      <w:r>
        <w:rPr>
          <w:spacing w:val="-5"/>
          <w:sz w:val="28"/>
        </w:rPr>
        <w:t>每个车间都有单独的收集池，初期雨水通切换阀门全部进</w:t>
      </w:r>
      <w:r>
        <w:rPr>
          <w:spacing w:val="-12"/>
          <w:sz w:val="28"/>
        </w:rPr>
        <w:t>入收集池，设备冲洗水与真空泵废水进入收集池，并由提升泵送至环</w:t>
      </w:r>
      <w:r>
        <w:rPr>
          <w:spacing w:val="-3"/>
          <w:sz w:val="28"/>
        </w:rPr>
        <w:t xml:space="preserve">保废水综合调节池。 </w:t>
      </w:r>
    </w:p>
    <w:p>
      <w:pPr>
        <w:pStyle w:val="6"/>
        <w:numPr>
          <w:ilvl w:val="2"/>
          <w:numId w:val="2"/>
        </w:numPr>
        <w:tabs>
          <w:tab w:val="left" w:pos="1792"/>
        </w:tabs>
        <w:spacing w:before="0" w:after="0" w:line="417" w:lineRule="auto"/>
        <w:ind w:left="459" w:right="674" w:firstLine="559"/>
        <w:jc w:val="both"/>
        <w:rPr>
          <w:sz w:val="28"/>
        </w:rPr>
      </w:pPr>
      <w:r>
        <w:rPr>
          <w:spacing w:val="-5"/>
          <w:sz w:val="28"/>
        </w:rPr>
        <w:t>我公司对废水进行分类收集、分质处理，对工艺废水进行</w:t>
      </w:r>
      <w:r>
        <w:rPr>
          <w:spacing w:val="-12"/>
          <w:sz w:val="28"/>
        </w:rPr>
        <w:t>预处理，通过三效蒸发，回收废水中的副产硫酸铵，蒸发冷凝水送至</w:t>
      </w:r>
      <w:r>
        <w:rPr>
          <w:spacing w:val="-14"/>
          <w:sz w:val="28"/>
        </w:rPr>
        <w:t xml:space="preserve">环保单独的收集池。公司已建成 </w:t>
      </w:r>
      <w:r>
        <w:rPr>
          <w:sz w:val="28"/>
        </w:rPr>
        <w:t>2500</w:t>
      </w:r>
      <w:r>
        <w:rPr>
          <w:spacing w:val="-31"/>
          <w:sz w:val="28"/>
        </w:rPr>
        <w:t xml:space="preserve"> 吨</w:t>
      </w:r>
      <w:r>
        <w:rPr>
          <w:sz w:val="28"/>
        </w:rPr>
        <w:t>/</w:t>
      </w:r>
      <w:r>
        <w:rPr>
          <w:spacing w:val="-9"/>
          <w:sz w:val="28"/>
        </w:rPr>
        <w:t>天的废水处理装置：废水综</w:t>
      </w:r>
      <w:r>
        <w:rPr>
          <w:spacing w:val="-13"/>
          <w:sz w:val="28"/>
        </w:rPr>
        <w:t xml:space="preserve">合调节池、兼氧池、好氧池、二沉池、尾水排放池。尾水池建设了在线监控房，安装了 </w:t>
      </w:r>
      <w:r>
        <w:rPr>
          <w:sz w:val="28"/>
        </w:rPr>
        <w:t>COD</w:t>
      </w:r>
      <w:r>
        <w:rPr>
          <w:spacing w:val="-13"/>
          <w:sz w:val="28"/>
        </w:rPr>
        <w:t xml:space="preserve"> 在线监测仪、氨氮在线监测仪、电导率在线监</w:t>
      </w:r>
      <w:r>
        <w:rPr>
          <w:spacing w:val="-12"/>
          <w:sz w:val="28"/>
        </w:rPr>
        <w:t>测仪，以及泵阀联动控制系统。在线数据与环保系统联网，同时委托</w:t>
      </w:r>
      <w:r>
        <w:rPr>
          <w:spacing w:val="-7"/>
          <w:sz w:val="28"/>
        </w:rPr>
        <w:t xml:space="preserve">江苏天泽环保对在线系统进行运营维护。 </w:t>
      </w:r>
    </w:p>
    <w:p>
      <w:pPr>
        <w:pStyle w:val="6"/>
        <w:numPr>
          <w:ilvl w:val="2"/>
          <w:numId w:val="2"/>
        </w:numPr>
        <w:tabs>
          <w:tab w:val="left" w:pos="1792"/>
        </w:tabs>
        <w:spacing w:before="0" w:after="0" w:line="417" w:lineRule="auto"/>
        <w:ind w:left="459" w:right="655" w:firstLine="559"/>
        <w:jc w:val="both"/>
        <w:rPr>
          <w:sz w:val="28"/>
        </w:rPr>
      </w:pPr>
      <w:r>
        <w:rPr>
          <w:spacing w:val="-3"/>
          <w:sz w:val="28"/>
        </w:rPr>
        <w:t xml:space="preserve">对于废水处理工段，公司配备专业操作和技术指导人员， </w:t>
      </w:r>
      <w:r>
        <w:rPr>
          <w:spacing w:val="-10"/>
          <w:sz w:val="28"/>
        </w:rPr>
        <w:t>对废水处理系统的运行，菌种的培养，各工段的数据，处理效果进行</w:t>
      </w:r>
      <w:r>
        <w:rPr>
          <w:spacing w:val="-7"/>
          <w:sz w:val="28"/>
        </w:rPr>
        <w:t xml:space="preserve">分析，确保废水达标排放。 </w:t>
      </w:r>
    </w:p>
    <w:p>
      <w:pPr>
        <w:pStyle w:val="6"/>
        <w:numPr>
          <w:ilvl w:val="1"/>
          <w:numId w:val="2"/>
        </w:numPr>
        <w:tabs>
          <w:tab w:val="left" w:pos="1511"/>
        </w:tabs>
        <w:spacing w:before="0" w:after="0" w:line="358" w:lineRule="exact"/>
        <w:ind w:left="1510" w:right="0" w:hanging="493"/>
        <w:jc w:val="both"/>
        <w:rPr>
          <w:sz w:val="28"/>
        </w:rPr>
      </w:pPr>
      <w:r>
        <w:rPr>
          <w:spacing w:val="-3"/>
          <w:sz w:val="28"/>
        </w:rPr>
        <w:t xml:space="preserve">废气治理设施及运行状况 </w:t>
      </w:r>
    </w:p>
    <w:p>
      <w:pPr>
        <w:pStyle w:val="2"/>
        <w:spacing w:before="6"/>
        <w:ind w:left="0"/>
        <w:rPr>
          <w:sz w:val="20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2"/>
          <w:numId w:val="2"/>
        </w:numPr>
        <w:tabs>
          <w:tab w:val="left" w:pos="1861"/>
        </w:tabs>
        <w:wordWrap/>
        <w:topLinePunct w:val="0"/>
        <w:autoSpaceDE w:val="0"/>
        <w:autoSpaceDN w:val="0"/>
        <w:bidi w:val="0"/>
        <w:adjustRightInd/>
        <w:snapToGrid/>
        <w:spacing w:before="0" w:after="0" w:line="417" w:lineRule="auto"/>
        <w:ind w:left="459" w:right="671" w:firstLine="559"/>
        <w:jc w:val="both"/>
        <w:textAlignment w:val="auto"/>
        <w:rPr>
          <w:sz w:val="28"/>
        </w:rPr>
      </w:pPr>
      <w:r>
        <w:rPr>
          <w:sz w:val="28"/>
        </w:rPr>
        <w:t>针对含氨的尾气，建有五级吸收（四级水吸收+一级硫酸吸收）</w:t>
      </w:r>
      <w:r>
        <w:rPr>
          <w:spacing w:val="-11"/>
          <w:sz w:val="28"/>
        </w:rPr>
        <w:t xml:space="preserve">装置，吸收后尾气 </w:t>
      </w:r>
      <w:r>
        <w:rPr>
          <w:sz w:val="28"/>
        </w:rPr>
        <w:t>20</w:t>
      </w:r>
      <w:r>
        <w:rPr>
          <w:spacing w:val="-13"/>
          <w:sz w:val="28"/>
        </w:rPr>
        <w:t xml:space="preserve"> 米高空排放。</w:t>
      </w:r>
      <w:r>
        <w:rPr>
          <w:sz w:val="28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2"/>
          <w:numId w:val="2"/>
        </w:numPr>
        <w:tabs>
          <w:tab w:val="left" w:pos="1861"/>
        </w:tabs>
        <w:wordWrap/>
        <w:topLinePunct w:val="0"/>
        <w:autoSpaceDE w:val="0"/>
        <w:autoSpaceDN w:val="0"/>
        <w:bidi w:val="0"/>
        <w:adjustRightInd/>
        <w:snapToGrid/>
        <w:spacing w:before="0" w:after="0" w:line="417" w:lineRule="auto"/>
        <w:ind w:left="459" w:right="671" w:firstLine="559"/>
        <w:jc w:val="both"/>
        <w:textAlignment w:val="auto"/>
        <w:rPr>
          <w:sz w:val="20"/>
        </w:rPr>
      </w:pPr>
      <w:r>
        <w:rPr>
          <w:sz w:val="28"/>
        </w:rPr>
        <w:t>针对含甲苯、乙腈、丙酮的尾气，建有冷凝+两级活性炭</w:t>
      </w:r>
      <w:r>
        <w:rPr>
          <w:rFonts w:hint="eastAsia"/>
          <w:sz w:val="28"/>
          <w:lang w:eastAsia="zh-CN"/>
        </w:rPr>
        <w:t>吸附装置，吸收</w:t>
      </w:r>
      <w:r>
        <w:rPr>
          <w:sz w:val="28"/>
        </w:rPr>
        <w:t>吸收的尾气 20 米高空排放，安装 VOC 在线监测设备。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61"/>
        </w:tabs>
        <w:wordWrap/>
        <w:topLinePunct w:val="0"/>
        <w:autoSpaceDE w:val="0"/>
        <w:autoSpaceDN w:val="0"/>
        <w:bidi w:val="0"/>
        <w:adjustRightInd/>
        <w:snapToGrid/>
        <w:spacing w:before="0" w:after="0" w:line="417" w:lineRule="auto"/>
        <w:ind w:left="559" w:leftChars="254" w:right="671" w:rightChars="0" w:firstLine="560" w:firstLineChars="200"/>
        <w:jc w:val="both"/>
        <w:textAlignment w:val="auto"/>
        <w:rPr>
          <w:sz w:val="20"/>
        </w:rPr>
      </w:pPr>
      <w:r>
        <w:rPr>
          <w:sz w:val="28"/>
        </w:rPr>
        <w:t>我公司废气处理设施按照环评要求建设到位并稳定有效的运行，吸附的活性炭按要求定期更换。</w:t>
      </w:r>
    </w:p>
    <w:p>
      <w:pPr>
        <w:pStyle w:val="6"/>
        <w:numPr>
          <w:ilvl w:val="1"/>
          <w:numId w:val="2"/>
        </w:numPr>
        <w:tabs>
          <w:tab w:val="left" w:pos="1512"/>
        </w:tabs>
        <w:spacing w:before="0" w:after="0" w:line="240" w:lineRule="auto"/>
        <w:ind w:left="1511" w:right="0" w:hanging="493"/>
        <w:jc w:val="both"/>
        <w:rPr>
          <w:sz w:val="28"/>
        </w:rPr>
      </w:pPr>
      <w:r>
        <w:rPr>
          <w:spacing w:val="-3"/>
          <w:sz w:val="28"/>
        </w:rPr>
        <w:t>固废处理</w:t>
      </w:r>
      <w:r>
        <w:rPr>
          <w:sz w:val="28"/>
        </w:rPr>
        <w:t xml:space="preserve">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6"/>
        <w:numPr>
          <w:ilvl w:val="2"/>
          <w:numId w:val="2"/>
        </w:numPr>
        <w:tabs>
          <w:tab w:val="left" w:pos="1831"/>
        </w:tabs>
        <w:spacing w:before="0" w:after="0" w:line="417" w:lineRule="auto"/>
        <w:ind w:left="460" w:right="674" w:firstLine="559"/>
        <w:jc w:val="both"/>
        <w:rPr>
          <w:sz w:val="28"/>
        </w:rPr>
      </w:pPr>
      <w:r>
        <w:rPr>
          <w:spacing w:val="-5"/>
          <w:sz w:val="28"/>
        </w:rPr>
        <w:t xml:space="preserve">公司按照“八防”要求建有 </w:t>
      </w:r>
      <w:r>
        <w:rPr>
          <w:sz w:val="28"/>
        </w:rPr>
        <w:t>466m</w:t>
      </w:r>
      <w:r>
        <w:rPr>
          <w:position w:val="14"/>
          <w:sz w:val="14"/>
        </w:rPr>
        <w:t>2</w:t>
      </w:r>
      <w:r>
        <w:rPr>
          <w:spacing w:val="-27"/>
          <w:position w:val="14"/>
          <w:sz w:val="14"/>
        </w:rPr>
        <w:t xml:space="preserve"> </w:t>
      </w:r>
      <w:r>
        <w:rPr>
          <w:spacing w:val="-3"/>
          <w:sz w:val="28"/>
        </w:rPr>
        <w:t>的危废仓库，仓库设有</w:t>
      </w:r>
      <w:r>
        <w:rPr>
          <w:spacing w:val="-12"/>
          <w:sz w:val="28"/>
        </w:rPr>
        <w:t>导流沟，收集池，提升泵，地面做了防腐措施，由安环部负责委托有</w:t>
      </w:r>
      <w:r>
        <w:rPr>
          <w:spacing w:val="-3"/>
          <w:sz w:val="28"/>
        </w:rPr>
        <w:t>资质的单位处理。</w:t>
      </w:r>
      <w:r>
        <w:rPr>
          <w:sz w:val="28"/>
        </w:rPr>
        <w:t xml:space="preserve"> </w:t>
      </w:r>
    </w:p>
    <w:p>
      <w:pPr>
        <w:pStyle w:val="6"/>
        <w:numPr>
          <w:ilvl w:val="2"/>
          <w:numId w:val="2"/>
        </w:numPr>
        <w:tabs>
          <w:tab w:val="left" w:pos="1792"/>
        </w:tabs>
        <w:spacing w:before="0" w:after="0" w:line="417" w:lineRule="auto"/>
        <w:ind w:left="459" w:right="679" w:firstLine="559"/>
        <w:jc w:val="both"/>
        <w:rPr>
          <w:sz w:val="28"/>
        </w:rPr>
      </w:pPr>
      <w:r>
        <w:rPr>
          <w:spacing w:val="-5"/>
          <w:sz w:val="28"/>
        </w:rPr>
        <w:t>项目生产中产生的一般固废为生活垃圾、建筑垃圾，分类</w:t>
      </w:r>
      <w:r>
        <w:rPr>
          <w:spacing w:val="-4"/>
          <w:sz w:val="28"/>
        </w:rPr>
        <w:t xml:space="preserve">收集，委托当地市政环卫部门统一收集后外运处置。 </w:t>
      </w:r>
    </w:p>
    <w:p>
      <w:pPr>
        <w:pStyle w:val="6"/>
        <w:numPr>
          <w:ilvl w:val="1"/>
          <w:numId w:val="2"/>
        </w:numPr>
        <w:tabs>
          <w:tab w:val="left" w:pos="1512"/>
        </w:tabs>
        <w:spacing w:before="0" w:after="0" w:line="358" w:lineRule="exact"/>
        <w:ind w:left="1511" w:right="0" w:hanging="493"/>
        <w:jc w:val="both"/>
        <w:rPr>
          <w:sz w:val="28"/>
        </w:rPr>
      </w:pPr>
      <w:r>
        <w:rPr>
          <w:spacing w:val="-3"/>
          <w:sz w:val="28"/>
        </w:rPr>
        <w:t>噪声控制</w:t>
      </w:r>
      <w:r>
        <w:rPr>
          <w:sz w:val="28"/>
        </w:rPr>
        <w:t xml:space="preserve"> 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line="417" w:lineRule="auto"/>
        <w:ind w:right="537" w:firstLine="559"/>
        <w:jc w:val="both"/>
      </w:pPr>
      <w:r>
        <w:rPr>
          <w:spacing w:val="-9"/>
        </w:rPr>
        <w:t>我公司在噪声控制方面通过隔音房、减震垫、消音器等辅助措施</w:t>
      </w:r>
      <w:r>
        <w:rPr>
          <w:spacing w:val="-12"/>
        </w:rPr>
        <w:t>最大限度的控制噪声，同时加速淘汰老旧设备。管理方面则通过加强</w:t>
      </w:r>
      <w:r>
        <w:rPr>
          <w:spacing w:val="-23"/>
        </w:rPr>
        <w:t>岗位巡回，加大设备检修力度，确保各机泵、、风机等设备稳定运行。</w:t>
      </w:r>
      <w:r>
        <w:t xml:space="preserve"> </w:t>
      </w:r>
    </w:p>
    <w:p>
      <w:pPr>
        <w:pStyle w:val="2"/>
        <w:spacing w:line="417" w:lineRule="auto"/>
        <w:ind w:right="676" w:firstLine="559"/>
        <w:jc w:val="both"/>
      </w:pPr>
      <w:r>
        <w:rPr>
          <w:spacing w:val="-10"/>
        </w:rPr>
        <w:t>通过采取上述治理措施后，确保所有厂界噪声均达到《工业企业</w:t>
      </w:r>
      <w:r>
        <w:rPr>
          <w:spacing w:val="-16"/>
        </w:rPr>
        <w:t>厂界环境噪声排放标准》</w:t>
      </w:r>
      <w:r>
        <w:t>（GB12348-2008）3</w:t>
      </w:r>
      <w:r>
        <w:rPr>
          <w:spacing w:val="-13"/>
        </w:rPr>
        <w:t xml:space="preserve"> 类标准</w:t>
      </w:r>
      <w:r>
        <w:t>（</w:t>
      </w:r>
      <w:r>
        <w:rPr>
          <w:spacing w:val="-11"/>
        </w:rPr>
        <w:t xml:space="preserve">昼间低于 </w:t>
      </w:r>
      <w:r>
        <w:t>65dB</w:t>
      </w:r>
    </w:p>
    <w:p>
      <w:pPr>
        <w:pStyle w:val="2"/>
        <w:spacing w:line="417" w:lineRule="auto"/>
        <w:ind w:right="5272"/>
        <w:jc w:val="both"/>
      </w:pPr>
      <w:r>
        <w:rPr>
          <w:w w:val="100"/>
        </w:rPr>
        <w:t>（</w:t>
      </w:r>
      <w:r>
        <w:rPr>
          <w:spacing w:val="-2"/>
          <w:w w:val="100"/>
        </w:rPr>
        <w:t>A</w:t>
      </w:r>
      <w:r>
        <w:rPr>
          <w:spacing w:val="-140"/>
          <w:w w:val="100"/>
        </w:rPr>
        <w:t>）</w:t>
      </w:r>
      <w:r>
        <w:rPr>
          <w:spacing w:val="-2"/>
          <w:w w:val="100"/>
        </w:rPr>
        <w:t>，夜间低于</w:t>
      </w:r>
      <w:r>
        <w:rPr>
          <w:spacing w:val="-73"/>
        </w:rPr>
        <w:t xml:space="preserve"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5d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（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)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。</w:t>
      </w:r>
      <w:r>
        <w:rPr>
          <w:w w:val="100"/>
        </w:rPr>
        <w:t xml:space="preserve"> </w:t>
      </w:r>
      <w:r>
        <w:t>4</w:t>
      </w:r>
      <w:r>
        <w:rPr>
          <w:spacing w:val="-3"/>
        </w:rPr>
        <w:t xml:space="preserve">、建设项目的行政审批情况 </w:t>
      </w:r>
    </w:p>
    <w:p>
      <w:pPr>
        <w:pStyle w:val="6"/>
        <w:numPr>
          <w:ilvl w:val="1"/>
          <w:numId w:val="3"/>
        </w:numPr>
        <w:tabs>
          <w:tab w:val="left" w:pos="1512"/>
        </w:tabs>
        <w:spacing w:before="0" w:after="0" w:line="358" w:lineRule="exact"/>
        <w:ind w:left="1511" w:right="0" w:hanging="493"/>
        <w:jc w:val="both"/>
        <w:rPr>
          <w:sz w:val="28"/>
        </w:rPr>
      </w:pPr>
      <w:r>
        <w:rPr>
          <w:spacing w:val="-3"/>
          <w:sz w:val="28"/>
        </w:rPr>
        <w:t>项目的立项审批</w:t>
      </w:r>
      <w:r>
        <w:rPr>
          <w:sz w:val="28"/>
        </w:rPr>
        <w:t xml:space="preserve"> </w:t>
      </w:r>
    </w:p>
    <w:p>
      <w:pPr>
        <w:pStyle w:val="2"/>
        <w:spacing w:before="8"/>
        <w:ind w:left="0"/>
        <w:rPr>
          <w:sz w:val="20"/>
        </w:rPr>
      </w:pPr>
    </w:p>
    <w:p>
      <w:pPr>
        <w:pStyle w:val="2"/>
        <w:spacing w:line="417" w:lineRule="auto"/>
        <w:ind w:left="459" w:right="675" w:firstLine="559"/>
        <w:jc w:val="both"/>
      </w:pPr>
      <w:r>
        <w:rPr>
          <w:spacing w:val="-11"/>
        </w:rPr>
        <w:t xml:space="preserve">我公司氰基吡啶项目于 </w:t>
      </w:r>
      <w:r>
        <w:t>2010</w:t>
      </w:r>
      <w:r>
        <w:rPr>
          <w:spacing w:val="-57"/>
        </w:rPr>
        <w:t xml:space="preserve"> 年 </w:t>
      </w:r>
      <w:r>
        <w:t>4</w:t>
      </w:r>
      <w:r>
        <w:rPr>
          <w:spacing w:val="-56"/>
        </w:rPr>
        <w:t xml:space="preserve"> 月 </w:t>
      </w:r>
      <w:r>
        <w:t>21</w:t>
      </w:r>
      <w:r>
        <w:rPr>
          <w:spacing w:val="-10"/>
        </w:rPr>
        <w:t xml:space="preserve"> 日由南通市发展和改革委</w:t>
      </w:r>
      <w:r>
        <w:rPr>
          <w:w w:val="100"/>
        </w:rPr>
        <w:t>员会核准备案立项</w:t>
      </w:r>
      <w:r>
        <w:rPr>
          <w:spacing w:val="2"/>
          <w:w w:val="100"/>
        </w:rPr>
        <w:t>（</w:t>
      </w:r>
      <w:r>
        <w:rPr>
          <w:w w:val="100"/>
        </w:rPr>
        <w:t>通发改投资【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2"/>
          <w:w w:val="100"/>
        </w:rPr>
        <w:t>】</w:t>
      </w:r>
      <w:r>
        <w:rPr>
          <w:spacing w:val="-2"/>
          <w:w w:val="100"/>
        </w:rPr>
        <w:t>23</w:t>
      </w:r>
      <w:r>
        <w:rPr>
          <w:w w:val="100"/>
        </w:rPr>
        <w:t>5</w:t>
      </w:r>
      <w:r>
        <w:t xml:space="preserve"> </w:t>
      </w:r>
      <w:r>
        <w:rPr>
          <w:spacing w:val="2"/>
          <w:w w:val="100"/>
        </w:rPr>
        <w:t>号</w:t>
      </w:r>
      <w:r>
        <w:rPr>
          <w:spacing w:val="-142"/>
          <w:w w:val="100"/>
        </w:rPr>
        <w:t>）</w:t>
      </w:r>
      <w:r>
        <w:rPr>
          <w:w w:val="100"/>
        </w:rPr>
        <w:t>，乙腈、巴豆醛项</w:t>
      </w:r>
      <w:r>
        <w:rPr>
          <w:spacing w:val="-29"/>
        </w:rPr>
        <w:t xml:space="preserve">目于 </w:t>
      </w:r>
      <w:r>
        <w:t>2008</w:t>
      </w:r>
      <w:r>
        <w:rPr>
          <w:spacing w:val="-56"/>
        </w:rPr>
        <w:t xml:space="preserve"> 年 </w:t>
      </w:r>
      <w:r>
        <w:t>12</w:t>
      </w:r>
      <w:r>
        <w:rPr>
          <w:spacing w:val="-57"/>
        </w:rPr>
        <w:t xml:space="preserve"> 月 </w:t>
      </w:r>
      <w:r>
        <w:t>15</w:t>
      </w:r>
      <w:r>
        <w:rPr>
          <w:spacing w:val="-17"/>
        </w:rPr>
        <w:t xml:space="preserve"> 日由南通市发展和改革委员会核准备案立项</w:t>
      </w:r>
      <w:r>
        <w:t>（通</w:t>
      </w:r>
      <w:r>
        <w:rPr>
          <w:spacing w:val="-1"/>
        </w:rPr>
        <w:t>发改投资【</w:t>
      </w:r>
      <w:r>
        <w:t>2008】595</w:t>
      </w:r>
      <w:r>
        <w:rPr>
          <w:spacing w:val="-37"/>
        </w:rPr>
        <w:t xml:space="preserve"> 号</w:t>
      </w:r>
      <w:r>
        <w:t xml:space="preserve">）. </w:t>
      </w:r>
    </w:p>
    <w:p>
      <w:pPr>
        <w:spacing w:after="0" w:line="417" w:lineRule="auto"/>
        <w:jc w:val="both"/>
        <w:sectPr>
          <w:pgSz w:w="11910" w:h="16840"/>
          <w:pgMar w:top="1520" w:right="1120" w:bottom="280" w:left="1340" w:header="720" w:footer="720" w:gutter="0"/>
          <w:cols w:space="720" w:num="1"/>
        </w:sectPr>
      </w:pPr>
    </w:p>
    <w:p>
      <w:pPr>
        <w:pStyle w:val="6"/>
        <w:numPr>
          <w:ilvl w:val="1"/>
          <w:numId w:val="3"/>
        </w:numPr>
        <w:tabs>
          <w:tab w:val="left" w:pos="1512"/>
        </w:tabs>
        <w:spacing w:before="34" w:after="0" w:line="240" w:lineRule="auto"/>
        <w:ind w:left="1511" w:right="0" w:hanging="493"/>
        <w:jc w:val="both"/>
        <w:rPr>
          <w:sz w:val="28"/>
        </w:rPr>
      </w:pPr>
      <w:r>
        <w:rPr>
          <w:spacing w:val="-3"/>
          <w:sz w:val="28"/>
        </w:rPr>
        <w:t xml:space="preserve">项目环评的审批与“三同时”验收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17" w:lineRule="auto"/>
        <w:ind w:right="674" w:firstLine="559"/>
        <w:jc w:val="both"/>
      </w:pPr>
      <w:r>
        <w:rPr>
          <w:spacing w:val="-13"/>
        </w:rPr>
        <w:t xml:space="preserve">公司年产 </w:t>
      </w:r>
      <w:r>
        <w:rPr>
          <w:rFonts w:ascii="Arial" w:eastAsia="Arial"/>
        </w:rPr>
        <w:t xml:space="preserve">10000 </w:t>
      </w:r>
      <w:r>
        <w:rPr>
          <w:spacing w:val="-10"/>
        </w:rPr>
        <w:t xml:space="preserve">吨氰基吡啶、副产 </w:t>
      </w:r>
      <w:r>
        <w:rPr>
          <w:rFonts w:ascii="Arial" w:eastAsia="Arial"/>
        </w:rPr>
        <w:t xml:space="preserve">10000 </w:t>
      </w:r>
      <w:r>
        <w:rPr>
          <w:spacing w:val="-2"/>
        </w:rPr>
        <w:t>吨硫酸铵项目的环评</w:t>
      </w:r>
      <w:r>
        <w:rPr>
          <w:spacing w:val="-3"/>
        </w:rPr>
        <w:t>批复文号为通环管【</w:t>
      </w:r>
      <w:r>
        <w:rPr>
          <w:rFonts w:ascii="Arial" w:eastAsia="Arial"/>
          <w:spacing w:val="-6"/>
        </w:rPr>
        <w:t>2011</w:t>
      </w:r>
      <w:r>
        <w:t>】</w:t>
      </w:r>
      <w:r>
        <w:rPr>
          <w:rFonts w:ascii="Arial" w:eastAsia="Arial"/>
        </w:rPr>
        <w:t xml:space="preserve">002 </w:t>
      </w:r>
      <w:r>
        <w:rPr>
          <w:spacing w:val="-5"/>
        </w:rPr>
        <w:t xml:space="preserve">号，年产 </w:t>
      </w:r>
      <w:r>
        <w:rPr>
          <w:rFonts w:ascii="Arial" w:eastAsia="Arial"/>
        </w:rPr>
        <w:t xml:space="preserve">10000 </w:t>
      </w:r>
      <w:r>
        <w:rPr>
          <w:spacing w:val="-1"/>
        </w:rPr>
        <w:t>吨巴豆醛、</w:t>
      </w:r>
      <w:r>
        <w:rPr>
          <w:rFonts w:ascii="Arial" w:eastAsia="Arial"/>
        </w:rPr>
        <w:t xml:space="preserve">10000 </w:t>
      </w:r>
      <w:r>
        <w:rPr>
          <w:spacing w:val="-5"/>
        </w:rPr>
        <w:t>吨乙腈项目的环评批复文号为通环管【</w:t>
      </w:r>
      <w:r>
        <w:rPr>
          <w:rFonts w:ascii="Arial" w:eastAsia="Arial"/>
        </w:rPr>
        <w:t>2009</w:t>
      </w:r>
      <w:r>
        <w:rPr>
          <w:spacing w:val="-20"/>
        </w:rPr>
        <w:t>】</w:t>
      </w:r>
      <w:r>
        <w:rPr>
          <w:rFonts w:ascii="Arial" w:eastAsia="Arial"/>
        </w:rPr>
        <w:t xml:space="preserve">031 </w:t>
      </w:r>
      <w:r>
        <w:rPr>
          <w:spacing w:val="-19"/>
        </w:rPr>
        <w:t xml:space="preserve">号，并于 </w:t>
      </w:r>
      <w:r>
        <w:rPr>
          <w:rFonts w:ascii="Arial" w:eastAsia="Arial"/>
        </w:rPr>
        <w:t xml:space="preserve">2013 </w:t>
      </w:r>
      <w:r>
        <w:t>年</w:t>
      </w:r>
      <w:r>
        <w:rPr>
          <w:rFonts w:ascii="Arial" w:eastAsia="Arial"/>
        </w:rPr>
        <w:t xml:space="preserve">5 </w:t>
      </w:r>
      <w:r>
        <w:rPr>
          <w:spacing w:val="-32"/>
        </w:rPr>
        <w:t xml:space="preserve">月 </w:t>
      </w:r>
      <w:r>
        <w:rPr>
          <w:rFonts w:ascii="Arial" w:eastAsia="Arial"/>
        </w:rPr>
        <w:t xml:space="preserve">9 </w:t>
      </w:r>
      <w:r>
        <w:rPr>
          <w:spacing w:val="-16"/>
        </w:rPr>
        <w:t xml:space="preserve">日通过 </w:t>
      </w:r>
      <w:r>
        <w:rPr>
          <w:rFonts w:ascii="Arial" w:eastAsia="Arial"/>
        </w:rPr>
        <w:t xml:space="preserve">10000 </w:t>
      </w:r>
      <w:r>
        <w:rPr>
          <w:spacing w:val="-9"/>
        </w:rPr>
        <w:t xml:space="preserve">吨氰基吡啶副产 </w:t>
      </w:r>
      <w:r>
        <w:rPr>
          <w:rFonts w:ascii="Arial" w:eastAsia="Arial"/>
        </w:rPr>
        <w:t xml:space="preserve">10000 </w:t>
      </w:r>
      <w:r>
        <w:rPr>
          <w:spacing w:val="-1"/>
        </w:rPr>
        <w:t>吨硫酸铵、</w:t>
      </w:r>
      <w:r>
        <w:rPr>
          <w:rFonts w:ascii="Arial" w:eastAsia="Arial"/>
        </w:rPr>
        <w:t xml:space="preserve">10000 </w:t>
      </w:r>
      <w:r>
        <w:t>吨乙</w:t>
      </w:r>
      <w:r>
        <w:rPr>
          <w:spacing w:val="-26"/>
        </w:rPr>
        <w:t>腈、</w:t>
      </w:r>
      <w:r>
        <w:rPr>
          <w:rFonts w:ascii="Arial" w:eastAsia="Arial"/>
        </w:rPr>
        <w:t xml:space="preserve">10000 </w:t>
      </w:r>
      <w:r>
        <w:rPr>
          <w:spacing w:val="-7"/>
        </w:rPr>
        <w:t>吨巴豆醛的三同时竣工验收，竣工验收批复文号为通环验</w:t>
      </w:r>
    </w:p>
    <w:p>
      <w:pPr>
        <w:pStyle w:val="2"/>
        <w:spacing w:line="357" w:lineRule="exact"/>
      </w:pPr>
      <w:r>
        <w:t>【</w:t>
      </w:r>
      <w:r>
        <w:rPr>
          <w:rFonts w:ascii="Arial" w:eastAsia="Arial"/>
        </w:rPr>
        <w:t>2013</w:t>
      </w:r>
      <w:r>
        <w:t>】</w:t>
      </w:r>
      <w:r>
        <w:rPr>
          <w:rFonts w:ascii="Arial" w:eastAsia="Arial"/>
        </w:rPr>
        <w:t xml:space="preserve">042 </w:t>
      </w:r>
      <w:r>
        <w:t xml:space="preserve">号。于 </w:t>
      </w:r>
      <w:r>
        <w:rPr>
          <w:rFonts w:ascii="Arial" w:eastAsia="Arial"/>
        </w:rPr>
        <w:t xml:space="preserve">2016 </w:t>
      </w:r>
      <w:r>
        <w:t xml:space="preserve">年 </w:t>
      </w:r>
      <w:r>
        <w:rPr>
          <w:rFonts w:ascii="Arial" w:eastAsia="Arial"/>
        </w:rPr>
        <w:t xml:space="preserve">9 </w:t>
      </w:r>
      <w:r>
        <w:t xml:space="preserve">月 </w:t>
      </w:r>
      <w:r>
        <w:rPr>
          <w:rFonts w:ascii="Arial" w:eastAsia="Arial"/>
        </w:rPr>
        <w:t xml:space="preserve">7 </w:t>
      </w:r>
      <w:r>
        <w:t xml:space="preserve">日通过年产 </w:t>
      </w:r>
      <w:r>
        <w:rPr>
          <w:rFonts w:ascii="Arial" w:eastAsia="Arial"/>
        </w:rPr>
        <w:t xml:space="preserve">10000 </w:t>
      </w:r>
      <w:r>
        <w:t>吨氰基吡啶、</w:t>
      </w:r>
    </w:p>
    <w:p>
      <w:pPr>
        <w:pStyle w:val="2"/>
        <w:spacing w:before="265" w:line="417" w:lineRule="auto"/>
        <w:ind w:right="678"/>
      </w:pPr>
      <w:r>
        <w:rPr>
          <w:rFonts w:ascii="Arial" w:eastAsia="Arial"/>
        </w:rPr>
        <w:t xml:space="preserve">10000 </w:t>
      </w:r>
      <w:r>
        <w:rPr>
          <w:spacing w:val="-10"/>
        </w:rPr>
        <w:t>吨乙腈清洁生产技改项目的三同时验收，验收批复文号为通行</w:t>
      </w:r>
      <w:r>
        <w:t>审批【</w:t>
      </w:r>
      <w:r>
        <w:rPr>
          <w:rFonts w:ascii="Arial" w:eastAsia="Arial"/>
        </w:rPr>
        <w:t>2016</w:t>
      </w:r>
      <w:r>
        <w:t>】</w:t>
      </w:r>
      <w:r>
        <w:rPr>
          <w:rFonts w:ascii="Arial" w:eastAsia="Arial"/>
        </w:rPr>
        <w:t xml:space="preserve">619 </w:t>
      </w:r>
      <w:r>
        <w:t>号。</w:t>
      </w:r>
    </w:p>
    <w:p>
      <w:pPr>
        <w:pStyle w:val="2"/>
        <w:spacing w:line="358" w:lineRule="exact"/>
      </w:pPr>
      <w:r>
        <w:t xml:space="preserve">5、突发性环境事件应急预案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  <w:spacing w:line="417" w:lineRule="auto"/>
        <w:ind w:right="539" w:firstLine="561"/>
      </w:pPr>
      <w:r>
        <w:rPr>
          <w:spacing w:val="-17"/>
        </w:rPr>
        <w:t xml:space="preserve">我公司编制了《南通立洋化学有限公司突发环境事件应急预案》， </w:t>
      </w:r>
      <w:r>
        <w:rPr>
          <w:spacing w:val="-9"/>
        </w:rPr>
        <w:t xml:space="preserve">并通过专家评审，并于 </w:t>
      </w:r>
      <w:r>
        <w:rPr>
          <w:rFonts w:ascii="Arial" w:eastAsia="Arial"/>
        </w:rPr>
        <w:t xml:space="preserve">2019 </w:t>
      </w:r>
      <w:r>
        <w:rPr>
          <w:spacing w:val="-34"/>
        </w:rPr>
        <w:t xml:space="preserve">年 </w:t>
      </w:r>
      <w:r>
        <w:rPr>
          <w:rFonts w:ascii="Arial" w:eastAsia="Arial"/>
        </w:rPr>
        <w:t xml:space="preserve">5 </w:t>
      </w:r>
      <w:r>
        <w:rPr>
          <w:spacing w:val="-3"/>
        </w:rPr>
        <w:t xml:space="preserve">月在如东县环境保护局进行备案， </w:t>
      </w:r>
      <w:r>
        <w:rPr>
          <w:spacing w:val="-17"/>
        </w:rPr>
        <w:t xml:space="preserve">备案号为 </w:t>
      </w:r>
      <w:r>
        <w:rPr>
          <w:rFonts w:ascii="Arial" w:eastAsia="Arial"/>
        </w:rPr>
        <w:t>320623-2019-042-H</w:t>
      </w:r>
      <w:r>
        <w:t>。</w:t>
      </w:r>
    </w:p>
    <w:p>
      <w:pPr>
        <w:pStyle w:val="2"/>
        <w:spacing w:line="417" w:lineRule="auto"/>
        <w:ind w:right="679" w:firstLine="559"/>
        <w:jc w:val="both"/>
      </w:pPr>
      <w:r>
        <w:rPr>
          <w:spacing w:val="-8"/>
        </w:rPr>
        <w:t>南通立洋化学有限公司一直秉承对社会负责任的原则，积极响应</w:t>
      </w:r>
      <w:r>
        <w:rPr>
          <w:spacing w:val="-11"/>
        </w:rPr>
        <w:t>国家政策，我们将继续加大在环保的投入、技术改进方面的力度，切</w:t>
      </w:r>
      <w:r>
        <w:rPr>
          <w:spacing w:val="-12"/>
        </w:rPr>
        <w:t>实推进清洁化生产。我公司资源公开企业环境保护相关信息，接收社</w:t>
      </w:r>
      <w:r>
        <w:rPr>
          <w:spacing w:val="-3"/>
        </w:rPr>
        <w:t xml:space="preserve">会的监督，做一个知法守法、受人尊重的企业。 </w:t>
      </w:r>
      <w:bookmarkStart w:id="0" w:name="_GoBack"/>
      <w:bookmarkEnd w:id="0"/>
    </w:p>
    <w:p>
      <w:pPr>
        <w:pStyle w:val="2"/>
        <w:ind w:left="0"/>
        <w:rPr>
          <w:sz w:val="20"/>
        </w:rPr>
      </w:pPr>
    </w:p>
    <w:p>
      <w:pPr>
        <w:pStyle w:val="2"/>
        <w:spacing w:before="10"/>
        <w:ind w:left="0"/>
        <w:rPr>
          <w:sz w:val="23"/>
        </w:rPr>
      </w:pPr>
    </w:p>
    <w:p>
      <w:pPr>
        <w:pStyle w:val="2"/>
        <w:spacing w:before="61"/>
      </w:pPr>
      <w:r>
        <w:rPr>
          <w:w w:val="100"/>
        </w:rPr>
        <w:t xml:space="preserve">                                       </w:t>
      </w:r>
      <w:r>
        <w:t xml:space="preserve">南通立洋化学有限公司 </w:t>
      </w:r>
    </w:p>
    <w:p>
      <w:pPr>
        <w:pStyle w:val="2"/>
        <w:spacing w:before="9"/>
        <w:ind w:left="0"/>
        <w:rPr>
          <w:sz w:val="20"/>
        </w:rPr>
      </w:pPr>
    </w:p>
    <w:p>
      <w:pPr>
        <w:pStyle w:val="2"/>
      </w:pPr>
      <w:r>
        <w:rPr>
          <w:w w:val="100"/>
        </w:rPr>
        <w:t xml:space="preserve">                                     </w:t>
      </w:r>
      <w:r>
        <w:t>二〇二</w:t>
      </w:r>
      <w:r>
        <w:rPr>
          <w:rFonts w:hint="eastAsia"/>
          <w:lang w:eastAsia="zh-CN"/>
        </w:rPr>
        <w:t>二</w:t>
      </w:r>
      <w:r>
        <w:t>年</w:t>
      </w:r>
      <w:r>
        <w:rPr>
          <w:rFonts w:hint="eastAsia"/>
          <w:lang w:eastAsia="zh-CN"/>
        </w:rPr>
        <w:t>二</w:t>
      </w:r>
      <w:r>
        <w:t>月</w:t>
      </w:r>
      <w:r>
        <w:rPr>
          <w:rFonts w:hint="eastAsia"/>
          <w:lang w:eastAsia="zh-CN"/>
        </w:rPr>
        <w:t>二十一</w:t>
      </w:r>
      <w:r>
        <w:t xml:space="preserve">日 </w:t>
      </w:r>
    </w:p>
    <w:sectPr>
      <w:pgSz w:w="11910" w:h="16840"/>
      <w:pgMar w:top="1520" w:right="11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4"/>
      <w:numFmt w:val="decimal"/>
      <w:lvlText w:val="%1"/>
      <w:lvlJc w:val="left"/>
      <w:pPr>
        <w:ind w:left="1511" w:hanging="49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511" w:hanging="49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05" w:hanging="4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7" w:hanging="4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90" w:hanging="4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4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75" w:hanging="4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68" w:hanging="4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61" w:hanging="49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3"/>
      <w:numFmt w:val="decimal"/>
      <w:lvlText w:val="%1"/>
      <w:lvlJc w:val="left"/>
      <w:pPr>
        <w:ind w:left="1511" w:hanging="492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511" w:hanging="49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1"/>
      <w:numFmt w:val="decimal"/>
      <w:lvlText w:val="%1.%2.%3"/>
      <w:lvlJc w:val="left"/>
      <w:pPr>
        <w:ind w:left="459" w:hanging="77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81" w:hanging="77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2" w:hanging="77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2" w:hanging="77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3" w:hanging="77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4" w:hanging="77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84" w:hanging="773"/>
      </w:pPr>
      <w:rPr>
        <w:rFonts w:hint="default"/>
        <w:lang w:val="zh-CN" w:eastAsia="zh-CN" w:bidi="zh-CN"/>
      </w:rPr>
    </w:lvl>
  </w:abstractNum>
  <w:abstractNum w:abstractNumId="2">
    <w:nsid w:val="48186B06"/>
    <w:multiLevelType w:val="singleLevel"/>
    <w:tmpl w:val="48186B0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F38FF"/>
    <w:rsid w:val="135638E6"/>
    <w:rsid w:val="22DA59A2"/>
    <w:rsid w:val="27EE2AFA"/>
    <w:rsid w:val="366A1B50"/>
    <w:rsid w:val="46542B1C"/>
    <w:rsid w:val="5E011358"/>
    <w:rsid w:val="7062261C"/>
    <w:rsid w:val="72834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6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459" w:hanging="493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2021-05-30T06:06:00Z</dcterms:created>
  <dc:creator>hk</dc:creator>
  <cp:lastModifiedBy>陈晓飞</cp:lastModifiedBy>
  <dcterms:modified xsi:type="dcterms:W3CDTF">2022-02-21T07:38:17Z</dcterms:modified>
  <dc:title>    南通立洋化学有限公司地址为如东沿海经济开发区黄海一路九号，组织机构代码66763593-6，公司主要负责人：顾翊；联系方式：0513-81903439，我公司主要产品为年产10000吨氰基吡啶、年产10000吨乙腈、年产10000吨巴豆醛项目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2021-05-30T00:00:00Z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3B0189EA370D45299F92566780AB4FB9</vt:lpwstr>
  </property>
</Properties>
</file>